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2"/>
        <w:tblW w:w="148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  <w:gridCol w:w="4962"/>
      </w:tblGrid>
      <w:tr w:rsidR="00AA503D">
        <w:trPr>
          <w:trHeight w:val="680"/>
        </w:trPr>
        <w:tc>
          <w:tcPr>
            <w:tcW w:w="14886" w:type="dxa"/>
            <w:gridSpan w:val="3"/>
            <w:vAlign w:val="center"/>
          </w:tcPr>
          <w:p w:rsidR="00AA503D" w:rsidRPr="00FB3964" w:rsidRDefault="00B117FC" w:rsidP="00FB3964">
            <w:r>
              <w:t>SMERNICE UDL</w:t>
            </w:r>
            <w:bookmarkStart w:id="0" w:name="_GoBack"/>
            <w:bookmarkEnd w:id="0"/>
          </w:p>
        </w:tc>
      </w:tr>
      <w:tr w:rsidR="00AA503D" w:rsidRPr="00B117FC">
        <w:tc>
          <w:tcPr>
            <w:tcW w:w="4962" w:type="dxa"/>
          </w:tcPr>
          <w:tbl>
            <w:tblPr>
              <w:tblStyle w:val="a"/>
              <w:tblW w:w="4594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4"/>
            </w:tblGrid>
            <w:tr w:rsidR="00AA503D" w:rsidRPr="00B117FC">
              <w:trPr>
                <w:trHeight w:val="500"/>
              </w:trPr>
              <w:tc>
                <w:tcPr>
                  <w:tcW w:w="4594" w:type="dxa"/>
                  <w:shd w:val="clear" w:color="auto" w:fill="BF9BB7"/>
                  <w:vAlign w:val="center"/>
                </w:tcPr>
                <w:p w:rsidR="00AA503D" w:rsidRPr="00B117FC" w:rsidRDefault="001D61FE">
                  <w:pPr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I.</w:t>
                  </w:r>
                  <w:r w:rsidRPr="00B117FC">
                    <w:rPr>
                      <w:rFonts w:ascii="Corbel" w:eastAsia="Corbel" w:hAnsi="Corbel" w:cs="Corbel"/>
                      <w:b/>
                      <w:color w:val="FFFFFF"/>
                      <w:sz w:val="22"/>
                      <w:szCs w:val="22"/>
                    </w:rPr>
                    <w:t xml:space="preserve">   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b/>
                      <w:color w:val="FFFFFF"/>
                      <w:sz w:val="22"/>
                      <w:szCs w:val="22"/>
                    </w:rPr>
                    <w:t>Zagotavljanje različnih REPREZENTACIJ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GOTAVLJANJE MOŽNOSTI ZA RAZLIČNE VRSTE ZAZNAVANJA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1.1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Ponuditi različne načine prikazovanja informacij.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1.2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Ponuditi alternative za slušne informacije.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1.3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Ponuditi alternative za vizualne informacije.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ZAGOTAVLJANJE MOŽNOSTI ZA RABO JEZIKA, MATEMATIČNIH IZRAZOV IN SIMBOLOV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2.1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Pojasniti besedišče in simbole.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2.2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Pojasniti sintakso in strukturo.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2.3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Nuditi podporo pri dekodiranju besedil, matematičnih zapisov in simbolov.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2.4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Spodbujati različne načine sporazumevanja.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2.5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Predstaviti snov z uporabo različnih medijev.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ZAGOTAVLJANJE MOŽNOSTI ZA RAZUMEVANJE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3.1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Aktivirati ali uporabiti otrokovo predhodno znanje.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3.2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Poudariti ponavljajoče se vzorce, izstopajoče značilnosti ter odnose med elementi neke ideje.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3.3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Usmerjati procesiranje informacij, vizualizacijo in manipulacijo s predmeti.</w:t>
                  </w:r>
                </w:p>
              </w:tc>
            </w:tr>
            <w:tr w:rsidR="00AA503D" w:rsidRPr="00B117FC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Pr="00B117FC" w:rsidRDefault="001D61FE">
                  <w:pPr>
                    <w:ind w:right="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8000FF"/>
                      <w:sz w:val="22"/>
                      <w:szCs w:val="22"/>
                    </w:rPr>
                    <w:t>3.4</w:t>
                  </w:r>
                  <w:r w:rsidRPr="00B117FC">
                    <w:rPr>
                      <w:rFonts w:ascii="Corbel" w:eastAsia="Corbel" w:hAnsi="Corbel" w:cs="Corbel"/>
                      <w:b/>
                      <w:color w:val="8000FF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Omogočiti maksimalni transfer in generalizacijo znanja.</w:t>
                  </w:r>
                </w:p>
              </w:tc>
            </w:tr>
          </w:tbl>
          <w:p w:rsidR="00AA503D" w:rsidRPr="00B117FC" w:rsidRDefault="00AA503D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tbl>
            <w:tblPr>
              <w:tblStyle w:val="a0"/>
              <w:tblW w:w="4720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0"/>
            </w:tblGrid>
            <w:tr w:rsidR="00AA503D" w:rsidRPr="00B117FC">
              <w:tc>
                <w:tcPr>
                  <w:tcW w:w="4720" w:type="dxa"/>
                  <w:shd w:val="clear" w:color="auto" w:fill="69ACE1"/>
                  <w:vAlign w:val="center"/>
                </w:tcPr>
                <w:p w:rsidR="00AA503D" w:rsidRPr="00B117FC" w:rsidRDefault="001D61FE">
                  <w:pPr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II.</w:t>
                  </w:r>
                  <w:r w:rsidRPr="00B117FC">
                    <w:rPr>
                      <w:rFonts w:ascii="Corbel" w:eastAsia="Corbel" w:hAnsi="Corbel" w:cs="Corbel"/>
                      <w:b/>
                      <w:color w:val="FFFFFF"/>
                      <w:sz w:val="22"/>
                      <w:szCs w:val="22"/>
                    </w:rPr>
                    <w:t xml:space="preserve">  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b/>
                      <w:color w:val="FFFFFF"/>
                      <w:sz w:val="22"/>
                      <w:szCs w:val="22"/>
                    </w:rPr>
                    <w:t>Zagotavljanje raznovrstnih načinov za DELOVANJE IN IZRAŽANJE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ZAGOTAVLJANJE MOŽNOSTI ZA FIZIČNO AKTIVNOST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4.1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Uporabljati raznovrstne metode za odziv in orientacijo v prostoru.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4.2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Omogočiti ustrezen dostop do orodij in podpornih tehnologij.</w:t>
                  </w:r>
                </w:p>
              </w:tc>
            </w:tr>
            <w:tr w:rsidR="00AA503D" w:rsidRPr="00B117FC">
              <w:trPr>
                <w:trHeight w:val="480"/>
              </w:trPr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ZAGOTAVLJANJE MOŽNOSTI ZA IZRAŽANJE IN KOMUNIKACIJO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5.1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Uporabljati raznovrstne medije za komunikacijo.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5.2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Uporabljati raznovrstna orodja za izdelavo in sestavo besedila.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5.3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Z različnimi stopnjami podpore razvijati tekočnost govora pri govornem nastopanju.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ZAGOTAVLJANJE MOŽNOSTI ZA RAZVIJANJE IZVRŠILNIH FUNKCIJ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6.1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Usmerjati postavljanje/načrtovanje ciljev.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left="688" w:hanging="688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6.2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Nuditi podporo pri načrtovanju in razvijanju strategij.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left="142" w:hanging="142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6.3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Naučiti otroka samostojne uporabe različnih virov.</w:t>
                  </w:r>
                </w:p>
              </w:tc>
            </w:tr>
            <w:tr w:rsidR="00AA503D" w:rsidRPr="00B117FC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080FF"/>
                      <w:sz w:val="22"/>
                      <w:szCs w:val="22"/>
                    </w:rPr>
                    <w:t>6.4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Opolnomočiti otroka za spremljanje razvoja.</w:t>
                  </w:r>
                </w:p>
              </w:tc>
            </w:tr>
          </w:tbl>
          <w:p w:rsidR="00AA503D" w:rsidRPr="00B117FC" w:rsidRDefault="00AA503D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tbl>
            <w:tblPr>
              <w:tblStyle w:val="a1"/>
              <w:tblW w:w="4736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6"/>
            </w:tblGrid>
            <w:tr w:rsidR="00AA503D" w:rsidRPr="00B117FC">
              <w:tc>
                <w:tcPr>
                  <w:tcW w:w="4736" w:type="dxa"/>
                  <w:shd w:val="clear" w:color="auto" w:fill="6AB565"/>
                  <w:vAlign w:val="center"/>
                </w:tcPr>
                <w:p w:rsidR="00AA503D" w:rsidRPr="00B117FC" w:rsidRDefault="001D61FE">
                  <w:pPr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III.</w:t>
                  </w:r>
                  <w:r w:rsidRPr="00B117FC">
                    <w:rPr>
                      <w:rFonts w:ascii="Corbel" w:eastAsia="Corbel" w:hAnsi="Corbel" w:cs="Corbel"/>
                      <w:b/>
                      <w:color w:val="FFFFFF"/>
                      <w:sz w:val="22"/>
                      <w:szCs w:val="22"/>
                    </w:rPr>
                    <w:t xml:space="preserve">  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b/>
                      <w:color w:val="FFFFFF"/>
                      <w:sz w:val="22"/>
                      <w:szCs w:val="22"/>
                    </w:rPr>
                    <w:t>Zagotavljanje raznovrstnih načinov za AKTIVNO VKLJUČEVANJE UČENCEV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ZAGOTAVLJANJE MOŽNOSTI ZA PRIDOBIVANJE INTERESA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7.1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Zagotavljati in spodbujati možnost individualne izbire in spodbujati samostojnost otroka.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7.2</w:t>
                  </w:r>
                  <w:r w:rsidRPr="00B117FC">
                    <w:rPr>
                      <w:rFonts w:ascii="Corbel" w:eastAsia="Corbel" w:hAnsi="Corbel" w:cs="Corbel"/>
                      <w:b/>
                      <w:color w:val="088A4B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Osmisliti pomen in vrednost neke aktivnosti za posameznega otroka.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-30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7.3</w:t>
                  </w:r>
                  <w:r w:rsidRPr="00B117FC">
                    <w:rPr>
                      <w:rFonts w:ascii="Corbel" w:eastAsia="Corbel" w:hAnsi="Corbel" w:cs="Corbel"/>
                      <w:b/>
                      <w:color w:val="088A4B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Minimizirati moteče dejavnike.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22"/>
                      <w:szCs w:val="22"/>
                    </w:rPr>
                  </w:pPr>
                  <w:r w:rsidRPr="00B117FC">
                    <w:rPr>
                      <w:rFonts w:ascii="Corbel" w:eastAsia="Corbel" w:hAnsi="Corbel" w:cs="Corbel"/>
                      <w:b/>
                      <w:sz w:val="22"/>
                      <w:szCs w:val="22"/>
                    </w:rPr>
                    <w:t>ZAGOTAVLJANJE MOŽNOSTI, DA OTROK VZTRAJA IN ŠE NAPREJ VLAGA TRUD V NEKO AKTIVNOST.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112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8.1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Poudariti pomembnost postavljanja ciljev.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112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8.2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 xml:space="preserve">Prilagajati zahteve in vire za spodbujanje izzivov pri posameznem otroku. 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112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8.3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Spodbujati aktivno sodelovanje otrok med seboj, in širše.</w:t>
                  </w:r>
                </w:p>
              </w:tc>
            </w:tr>
            <w:tr w:rsidR="00AA503D" w:rsidRPr="00B117FC">
              <w:trPr>
                <w:trHeight w:val="300"/>
              </w:trPr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112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8.4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S pomočjo učiteljeve povratne informacije maksimalno razviti otrokova močna področja.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Pr="00B117FC" w:rsidRDefault="001D61FE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</w:pPr>
                  <w:r w:rsidRPr="00B117FC">
                    <w:rPr>
                      <w:rFonts w:ascii="Trebuchet MS" w:eastAsia="Trebuchet MS" w:hAnsi="Trebuchet MS" w:cs="Trebuchet MS"/>
                      <w:b/>
                      <w:sz w:val="22"/>
                      <w:szCs w:val="22"/>
                    </w:rPr>
                    <w:t>ZAGOTAVLJANJE MOŽNOSTI ZA SAMONADZOR.</w:t>
                  </w:r>
                </w:p>
              </w:tc>
            </w:tr>
            <w:tr w:rsidR="00AA503D" w:rsidRPr="00B117FC">
              <w:trPr>
                <w:trHeight w:val="200"/>
              </w:trPr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ind w:right="112"/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9.1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Spremeniti pričakovanja in prepričanja otroka, ga navdušiti (za neko aktivnost, predmet, itd.) in spodbuditi maksimalno motivacijo in angažiranost.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9.2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Opolnomočiti otroka za soočanje z izzivi in mu ponuditi izbor strategij učenja.</w:t>
                  </w:r>
                </w:p>
              </w:tc>
            </w:tr>
            <w:tr w:rsidR="00AA503D" w:rsidRPr="00B117FC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Pr="00B117FC" w:rsidRDefault="001D61FE">
                  <w:pPr>
                    <w:rPr>
                      <w:sz w:val="22"/>
                      <w:szCs w:val="22"/>
                    </w:rPr>
                  </w:pPr>
                  <w:r w:rsidRPr="00B117FC">
                    <w:rPr>
                      <w:rFonts w:ascii="Calibri" w:eastAsia="Calibri" w:hAnsi="Calibri" w:cs="Calibri"/>
                      <w:b/>
                      <w:color w:val="088A4B"/>
                      <w:sz w:val="22"/>
                      <w:szCs w:val="22"/>
                    </w:rPr>
                    <w:t>9.3</w:t>
                  </w:r>
                  <w:r w:rsidRPr="00B117FC">
                    <w:rPr>
                      <w:rFonts w:ascii="Corbel" w:eastAsia="Corbel" w:hAnsi="Corbel" w:cs="Corbel"/>
                      <w:sz w:val="22"/>
                      <w:szCs w:val="22"/>
                    </w:rPr>
                    <w:t> 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Razvijati sposobnost samo</w:t>
                  </w:r>
                  <w:r w:rsidR="00FB3964"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 xml:space="preserve"> </w:t>
                  </w:r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 xml:space="preserve">preverjanja in refleksije – </w:t>
                  </w:r>
                  <w:proofErr w:type="spellStart"/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metakognicije</w:t>
                  </w:r>
                  <w:proofErr w:type="spellEnd"/>
                  <w:r w:rsidRPr="00B117FC">
                    <w:rPr>
                      <w:rFonts w:ascii="Corbel" w:eastAsia="Corbel" w:hAnsi="Corbel" w:cs="Corbel"/>
                      <w:color w:val="595959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AA503D" w:rsidRPr="00B117FC" w:rsidRDefault="00AA503D">
            <w:pPr>
              <w:rPr>
                <w:sz w:val="22"/>
                <w:szCs w:val="22"/>
              </w:rPr>
            </w:pPr>
          </w:p>
        </w:tc>
      </w:tr>
    </w:tbl>
    <w:p w:rsidR="00AA503D" w:rsidRPr="00FB3964" w:rsidRDefault="00AA503D" w:rsidP="00B117FC">
      <w:pPr>
        <w:rPr>
          <w:sz w:val="24"/>
          <w:szCs w:val="24"/>
        </w:rPr>
      </w:pPr>
    </w:p>
    <w:sectPr w:rsidR="00AA503D" w:rsidRPr="00FB3964" w:rsidSect="00FB3964">
      <w:footerReference w:type="default" r:id="rId7"/>
      <w:pgSz w:w="15840" w:h="12240" w:orient="landscape"/>
      <w:pgMar w:top="720" w:right="720" w:bottom="720" w:left="720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83" w:rsidRDefault="008B5D83">
      <w:r>
        <w:separator/>
      </w:r>
    </w:p>
  </w:endnote>
  <w:endnote w:type="continuationSeparator" w:id="0">
    <w:p w:rsidR="008B5D83" w:rsidRDefault="008B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3D" w:rsidRDefault="001D61FE">
    <w:pPr>
      <w:spacing w:after="345"/>
      <w:jc w:val="right"/>
    </w:pPr>
    <w:r>
      <w:rPr>
        <w:noProof/>
      </w:rPr>
      <w:drawing>
        <wp:inline distT="0" distB="0" distL="114300" distR="114300">
          <wp:extent cx="850900" cy="254000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83" w:rsidRDefault="008B5D83">
      <w:r>
        <w:separator/>
      </w:r>
    </w:p>
  </w:footnote>
  <w:footnote w:type="continuationSeparator" w:id="0">
    <w:p w:rsidR="008B5D83" w:rsidRDefault="008B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40E0"/>
    <w:multiLevelType w:val="multilevel"/>
    <w:tmpl w:val="02249CE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503D"/>
    <w:rsid w:val="001D61FE"/>
    <w:rsid w:val="003A71CD"/>
    <w:rsid w:val="007C0461"/>
    <w:rsid w:val="008B5D83"/>
    <w:rsid w:val="00AA503D"/>
    <w:rsid w:val="00B117FC"/>
    <w:rsid w:val="00DA5D8A"/>
    <w:rsid w:val="00FB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42C6"/>
  <w15:docId w15:val="{D9560ADF-4DE0-4D0B-9BFB-6538CC2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Jezerka</dc:creator>
  <cp:lastModifiedBy>Jezerka</cp:lastModifiedBy>
  <cp:revision>2</cp:revision>
  <dcterms:created xsi:type="dcterms:W3CDTF">2017-05-26T20:58:00Z</dcterms:created>
  <dcterms:modified xsi:type="dcterms:W3CDTF">2017-05-26T20:58:00Z</dcterms:modified>
</cp:coreProperties>
</file>